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C8" w:rsidRDefault="008E10C8">
      <w:pPr>
        <w:jc w:val="center"/>
        <w:rPr>
          <w:rFonts w:ascii="黑体" w:eastAsia="黑体" w:hAnsi="黑体" w:cs="Times New Roman"/>
          <w:b/>
          <w:bCs/>
          <w:kern w:val="0"/>
          <w:sz w:val="32"/>
          <w:szCs w:val="32"/>
        </w:rPr>
      </w:pPr>
      <w:r>
        <w:rPr>
          <w:rFonts w:ascii="黑体" w:eastAsia="黑体" w:hAnsi="黑体" w:cs="黑体" w:hint="eastAsia"/>
          <w:b/>
          <w:bCs/>
          <w:kern w:val="0"/>
          <w:sz w:val="32"/>
          <w:szCs w:val="32"/>
        </w:rPr>
        <w:t>南京理工大学瞬态物理重点实验室</w:t>
      </w:r>
    </w:p>
    <w:p w:rsidR="008E10C8" w:rsidRDefault="008E10C8">
      <w:pPr>
        <w:jc w:val="center"/>
        <w:rPr>
          <w:rFonts w:ascii="黑体" w:eastAsia="黑体" w:hAnsi="黑体" w:cs="Times New Roman"/>
          <w:b/>
          <w:bCs/>
          <w:kern w:val="0"/>
          <w:sz w:val="32"/>
          <w:szCs w:val="32"/>
        </w:rPr>
      </w:pPr>
      <w:r>
        <w:rPr>
          <w:rFonts w:ascii="黑体" w:eastAsia="黑体" w:hAnsi="黑体" w:cs="黑体"/>
          <w:b/>
          <w:bCs/>
          <w:kern w:val="0"/>
          <w:sz w:val="32"/>
          <w:szCs w:val="32"/>
        </w:rPr>
        <w:t>2015</w:t>
      </w:r>
      <w:r>
        <w:rPr>
          <w:rFonts w:ascii="黑体" w:eastAsia="黑体" w:hAnsi="黑体" w:cs="黑体" w:hint="eastAsia"/>
          <w:b/>
          <w:bCs/>
          <w:kern w:val="0"/>
          <w:sz w:val="32"/>
          <w:szCs w:val="32"/>
        </w:rPr>
        <w:t>年公开招考攻读博士学位研究生复试细则</w:t>
      </w:r>
    </w:p>
    <w:p w:rsidR="008E10C8" w:rsidRDefault="008E10C8" w:rsidP="00C230C5">
      <w:pPr>
        <w:spacing w:line="440" w:lineRule="exact"/>
        <w:ind w:firstLineChars="200" w:firstLine="31680"/>
        <w:rPr>
          <w:rFonts w:cs="Times New Roman"/>
          <w:sz w:val="24"/>
          <w:szCs w:val="24"/>
        </w:rPr>
      </w:pPr>
      <w:r>
        <w:rPr>
          <w:rFonts w:cs="宋体" w:hint="eastAsia"/>
          <w:sz w:val="24"/>
          <w:szCs w:val="24"/>
        </w:rPr>
        <w:t>依据《南京理工大学</w:t>
      </w:r>
      <w:r>
        <w:rPr>
          <w:sz w:val="24"/>
          <w:szCs w:val="24"/>
        </w:rPr>
        <w:t>2015</w:t>
      </w:r>
      <w:r>
        <w:rPr>
          <w:rFonts w:cs="宋体" w:hint="eastAsia"/>
          <w:sz w:val="24"/>
          <w:szCs w:val="24"/>
        </w:rPr>
        <w:t>年攻读博士学位研究生招生简章》，结合瞬态物理重点实验室（以下简称重点实验室）对博士培养目标的要求，制定重点实验室</w:t>
      </w:r>
      <w:r>
        <w:rPr>
          <w:sz w:val="24"/>
          <w:szCs w:val="24"/>
        </w:rPr>
        <w:t>2015</w:t>
      </w:r>
      <w:r>
        <w:rPr>
          <w:rFonts w:cs="宋体" w:hint="eastAsia"/>
          <w:sz w:val="24"/>
          <w:szCs w:val="24"/>
        </w:rPr>
        <w:t>年公开招考攻读博士学位研究生复试录取工作细则。</w:t>
      </w:r>
    </w:p>
    <w:p w:rsidR="008E10C8" w:rsidRDefault="008E10C8" w:rsidP="00465017">
      <w:pPr>
        <w:spacing w:line="440" w:lineRule="exact"/>
        <w:ind w:firstLineChars="200" w:firstLine="31680"/>
        <w:rPr>
          <w:rFonts w:cs="Times New Roman"/>
          <w:sz w:val="24"/>
          <w:szCs w:val="24"/>
        </w:rPr>
      </w:pPr>
      <w:r>
        <w:rPr>
          <w:sz w:val="24"/>
          <w:szCs w:val="24"/>
        </w:rPr>
        <w:t>1.</w:t>
      </w:r>
      <w:r>
        <w:rPr>
          <w:rFonts w:cs="宋体" w:hint="eastAsia"/>
          <w:sz w:val="24"/>
          <w:szCs w:val="24"/>
        </w:rPr>
        <w:t>公开招考是面向符合报考条件的已获得硕士学位人员和应届硕士毕业生遴选博士生的招生方式，分为“申请审核”和“考试选拔”两种方式。</w:t>
      </w:r>
      <w:bookmarkStart w:id="0" w:name="OLE_LINK1"/>
      <w:bookmarkStart w:id="1" w:name="OLE_LINK2"/>
    </w:p>
    <w:p w:rsidR="008E10C8" w:rsidRDefault="008E10C8" w:rsidP="00C230C5">
      <w:pPr>
        <w:spacing w:line="440" w:lineRule="exact"/>
        <w:ind w:firstLineChars="200" w:firstLine="31680"/>
        <w:rPr>
          <w:rFonts w:cs="Times New Roman"/>
          <w:sz w:val="24"/>
          <w:szCs w:val="24"/>
        </w:rPr>
      </w:pPr>
      <w:r>
        <w:rPr>
          <w:rFonts w:cs="宋体" w:hint="eastAsia"/>
          <w:sz w:val="24"/>
          <w:szCs w:val="24"/>
        </w:rPr>
        <w:t>报考“非定向就业”博士生，采用</w:t>
      </w:r>
      <w:r>
        <w:rPr>
          <w:sz w:val="24"/>
          <w:szCs w:val="24"/>
        </w:rPr>
        <w:t>“</w:t>
      </w:r>
      <w:r>
        <w:rPr>
          <w:rFonts w:cs="宋体" w:hint="eastAsia"/>
          <w:sz w:val="24"/>
          <w:szCs w:val="24"/>
        </w:rPr>
        <w:t>申请审核</w:t>
      </w:r>
      <w:r>
        <w:rPr>
          <w:sz w:val="24"/>
          <w:szCs w:val="24"/>
        </w:rPr>
        <w:t>”</w:t>
      </w:r>
      <w:r>
        <w:rPr>
          <w:rFonts w:cs="宋体" w:hint="eastAsia"/>
          <w:sz w:val="24"/>
          <w:szCs w:val="24"/>
        </w:rPr>
        <w:t>方式；报考</w:t>
      </w:r>
      <w:r>
        <w:rPr>
          <w:sz w:val="24"/>
          <w:szCs w:val="24"/>
        </w:rPr>
        <w:t>“</w:t>
      </w:r>
      <w:r>
        <w:rPr>
          <w:rFonts w:cs="宋体" w:hint="eastAsia"/>
          <w:sz w:val="24"/>
          <w:szCs w:val="24"/>
        </w:rPr>
        <w:t>定向就业</w:t>
      </w:r>
      <w:r>
        <w:rPr>
          <w:sz w:val="24"/>
          <w:szCs w:val="24"/>
        </w:rPr>
        <w:t>”</w:t>
      </w:r>
      <w:r>
        <w:rPr>
          <w:rFonts w:cs="宋体" w:hint="eastAsia"/>
          <w:sz w:val="24"/>
          <w:szCs w:val="24"/>
        </w:rPr>
        <w:t>博士生，采用“考试选拔</w:t>
      </w:r>
      <w:r>
        <w:rPr>
          <w:sz w:val="24"/>
          <w:szCs w:val="24"/>
        </w:rPr>
        <w:t>”</w:t>
      </w:r>
      <w:r>
        <w:rPr>
          <w:rFonts w:cs="宋体" w:hint="eastAsia"/>
          <w:sz w:val="24"/>
          <w:szCs w:val="24"/>
        </w:rPr>
        <w:t>方式。</w:t>
      </w:r>
      <w:bookmarkEnd w:id="0"/>
      <w:bookmarkEnd w:id="1"/>
    </w:p>
    <w:p w:rsidR="008E10C8" w:rsidRDefault="008E10C8" w:rsidP="00C230C5">
      <w:pPr>
        <w:spacing w:line="440" w:lineRule="exact"/>
        <w:ind w:firstLineChars="200" w:firstLine="31680"/>
        <w:rPr>
          <w:rFonts w:cs="Times New Roman"/>
          <w:sz w:val="24"/>
          <w:szCs w:val="24"/>
        </w:rPr>
      </w:pPr>
      <w:r>
        <w:rPr>
          <w:sz w:val="24"/>
          <w:szCs w:val="24"/>
        </w:rPr>
        <w:t>2.</w:t>
      </w:r>
      <w:r>
        <w:rPr>
          <w:rFonts w:cs="宋体" w:hint="eastAsia"/>
          <w:sz w:val="24"/>
          <w:szCs w:val="24"/>
        </w:rPr>
        <w:t>公开招考的博士生，必须满足《南京理工大学</w:t>
      </w:r>
      <w:r>
        <w:rPr>
          <w:sz w:val="24"/>
          <w:szCs w:val="24"/>
        </w:rPr>
        <w:t>2015</w:t>
      </w:r>
      <w:r>
        <w:rPr>
          <w:rFonts w:cs="宋体" w:hint="eastAsia"/>
          <w:sz w:val="24"/>
          <w:szCs w:val="24"/>
        </w:rPr>
        <w:t>年攻读博士学位研究生招生简章》第四条的报考条件的规定，条件不符合者不能参加复试。</w:t>
      </w:r>
    </w:p>
    <w:p w:rsidR="008E10C8" w:rsidRDefault="008E10C8" w:rsidP="00C230C5">
      <w:pPr>
        <w:spacing w:line="440" w:lineRule="exact"/>
        <w:ind w:firstLineChars="200" w:firstLine="31680"/>
        <w:rPr>
          <w:rFonts w:cs="Times New Roman"/>
          <w:sz w:val="24"/>
          <w:szCs w:val="24"/>
        </w:rPr>
      </w:pPr>
      <w:r>
        <w:rPr>
          <w:sz w:val="24"/>
          <w:szCs w:val="24"/>
        </w:rPr>
        <w:t>3.</w:t>
      </w:r>
      <w:r>
        <w:rPr>
          <w:rFonts w:cs="宋体" w:hint="eastAsia"/>
          <w:sz w:val="24"/>
          <w:szCs w:val="24"/>
        </w:rPr>
        <w:t>参试考生递交的报名材料中，一经查实有弄虚作假的现象，则取消该考生的复试资格或录取资格。</w:t>
      </w:r>
    </w:p>
    <w:p w:rsidR="008E10C8" w:rsidRDefault="008E10C8" w:rsidP="00C230C5">
      <w:pPr>
        <w:spacing w:line="440" w:lineRule="exact"/>
        <w:ind w:firstLineChars="200" w:firstLine="31680"/>
        <w:rPr>
          <w:rFonts w:cs="Times New Roman"/>
          <w:sz w:val="24"/>
          <w:szCs w:val="24"/>
        </w:rPr>
      </w:pPr>
      <w:r>
        <w:rPr>
          <w:sz w:val="24"/>
          <w:szCs w:val="24"/>
        </w:rPr>
        <w:t>4.</w:t>
      </w:r>
      <w:r>
        <w:rPr>
          <w:rFonts w:cs="宋体" w:hint="eastAsia"/>
          <w:sz w:val="24"/>
          <w:szCs w:val="24"/>
        </w:rPr>
        <w:t>参加“考试选拔”的考生，在笔试结束后与符合“申请审核”条件的考生一起，参加由重点实验室专家组成的复试专家组面试。</w:t>
      </w:r>
    </w:p>
    <w:p w:rsidR="008E10C8" w:rsidRDefault="008E10C8" w:rsidP="00C230C5">
      <w:pPr>
        <w:spacing w:line="440" w:lineRule="exact"/>
        <w:ind w:firstLineChars="200" w:firstLine="31680"/>
        <w:rPr>
          <w:rFonts w:cs="Times New Roman"/>
          <w:sz w:val="24"/>
          <w:szCs w:val="24"/>
        </w:rPr>
      </w:pPr>
      <w:r>
        <w:rPr>
          <w:sz w:val="24"/>
          <w:szCs w:val="24"/>
        </w:rPr>
        <w:t xml:space="preserve">5. </w:t>
      </w:r>
      <w:r>
        <w:rPr>
          <w:rFonts w:cs="宋体" w:hint="eastAsia"/>
          <w:sz w:val="24"/>
          <w:szCs w:val="24"/>
        </w:rPr>
        <w:t>重点实验室复试专家组对面试考生的基础理论、专业知识、知识结构、科学研究能力、创新能力、外语应用能力、综合素质和培养潜力等方面进行综合考核，然后进行面试结果排序。复试专家组具有对参加面试考生是否录取的否决权。（基础理论、专业知识和知识结构的权重为</w:t>
      </w:r>
      <w:r>
        <w:rPr>
          <w:sz w:val="24"/>
          <w:szCs w:val="24"/>
        </w:rPr>
        <w:t>10%</w:t>
      </w:r>
      <w:r>
        <w:rPr>
          <w:rFonts w:cs="宋体" w:hint="eastAsia"/>
          <w:sz w:val="24"/>
          <w:szCs w:val="24"/>
        </w:rPr>
        <w:t>，科学研究能力和创新能力权重为</w:t>
      </w:r>
      <w:r>
        <w:rPr>
          <w:sz w:val="24"/>
          <w:szCs w:val="24"/>
        </w:rPr>
        <w:t>40%</w:t>
      </w:r>
      <w:r>
        <w:rPr>
          <w:rFonts w:cs="宋体" w:hint="eastAsia"/>
          <w:sz w:val="24"/>
          <w:szCs w:val="24"/>
        </w:rPr>
        <w:t>，外语应用能力权重为</w:t>
      </w:r>
      <w:r>
        <w:rPr>
          <w:sz w:val="24"/>
          <w:szCs w:val="24"/>
        </w:rPr>
        <w:t>10%</w:t>
      </w:r>
      <w:r>
        <w:rPr>
          <w:rFonts w:cs="宋体" w:hint="eastAsia"/>
          <w:sz w:val="24"/>
          <w:szCs w:val="24"/>
        </w:rPr>
        <w:t>，综合素质和培养潜力权重</w:t>
      </w:r>
      <w:r>
        <w:rPr>
          <w:sz w:val="24"/>
          <w:szCs w:val="24"/>
        </w:rPr>
        <w:t>40%</w:t>
      </w:r>
      <w:r>
        <w:rPr>
          <w:rFonts w:cs="宋体" w:hint="eastAsia"/>
          <w:sz w:val="24"/>
          <w:szCs w:val="24"/>
        </w:rPr>
        <w:t>。）</w:t>
      </w:r>
    </w:p>
    <w:p w:rsidR="008E10C8" w:rsidRPr="002A7D1D" w:rsidRDefault="008E10C8" w:rsidP="00C230C5">
      <w:pPr>
        <w:spacing w:line="440" w:lineRule="exact"/>
        <w:ind w:firstLineChars="200" w:firstLine="31680"/>
        <w:rPr>
          <w:rFonts w:cs="Times New Roman"/>
          <w:sz w:val="24"/>
          <w:szCs w:val="24"/>
        </w:rPr>
      </w:pPr>
      <w:r>
        <w:rPr>
          <w:sz w:val="24"/>
          <w:szCs w:val="24"/>
        </w:rPr>
        <w:t>6.</w:t>
      </w:r>
      <w:r>
        <w:rPr>
          <w:rFonts w:cs="宋体" w:hint="eastAsia"/>
          <w:sz w:val="24"/>
          <w:szCs w:val="24"/>
        </w:rPr>
        <w:t>在完成所有复试程序后，复试专家组将在规定时间内，</w:t>
      </w:r>
      <w:r w:rsidRPr="004B0D9E">
        <w:rPr>
          <w:rFonts w:cs="宋体" w:hint="eastAsia"/>
          <w:sz w:val="24"/>
          <w:szCs w:val="24"/>
        </w:rPr>
        <w:t>对达到复试总成绩要求，确定最终录取名单并进行公示。</w:t>
      </w:r>
      <w:r w:rsidRPr="002A7D1D">
        <w:rPr>
          <w:rFonts w:cs="宋体" w:hint="eastAsia"/>
          <w:sz w:val="24"/>
          <w:szCs w:val="24"/>
        </w:rPr>
        <w:t>考试选拔的考生初试成绩占总成绩的</w:t>
      </w:r>
      <w:r>
        <w:rPr>
          <w:sz w:val="24"/>
          <w:szCs w:val="24"/>
        </w:rPr>
        <w:t>5</w:t>
      </w:r>
      <w:r w:rsidRPr="002A7D1D">
        <w:rPr>
          <w:sz w:val="24"/>
          <w:szCs w:val="24"/>
        </w:rPr>
        <w:t>0%</w:t>
      </w:r>
      <w:r w:rsidRPr="002A7D1D">
        <w:rPr>
          <w:rFonts w:cs="宋体" w:hint="eastAsia"/>
          <w:sz w:val="24"/>
          <w:szCs w:val="24"/>
        </w:rPr>
        <w:t>，复试成绩占总成绩的</w:t>
      </w:r>
      <w:r>
        <w:rPr>
          <w:sz w:val="24"/>
          <w:szCs w:val="24"/>
        </w:rPr>
        <w:t>5</w:t>
      </w:r>
      <w:r w:rsidRPr="002A7D1D">
        <w:rPr>
          <w:sz w:val="24"/>
          <w:szCs w:val="24"/>
        </w:rPr>
        <w:t>0%</w:t>
      </w:r>
      <w:bookmarkStart w:id="2" w:name="_GoBack"/>
      <w:bookmarkEnd w:id="2"/>
      <w:r w:rsidRPr="002A7D1D">
        <w:rPr>
          <w:rFonts w:cs="宋体" w:hint="eastAsia"/>
          <w:sz w:val="24"/>
          <w:szCs w:val="24"/>
        </w:rPr>
        <w:t>。</w:t>
      </w:r>
    </w:p>
    <w:p w:rsidR="008E10C8" w:rsidRDefault="008E10C8" w:rsidP="00C230C5">
      <w:pPr>
        <w:spacing w:line="440" w:lineRule="exact"/>
        <w:ind w:firstLineChars="200" w:firstLine="31680"/>
        <w:rPr>
          <w:rFonts w:cs="Times New Roman"/>
          <w:sz w:val="24"/>
          <w:szCs w:val="24"/>
        </w:rPr>
      </w:pPr>
      <w:r>
        <w:rPr>
          <w:sz w:val="24"/>
          <w:szCs w:val="24"/>
        </w:rPr>
        <w:t>7.</w:t>
      </w:r>
      <w:r>
        <w:rPr>
          <w:rFonts w:cs="宋体" w:hint="eastAsia"/>
          <w:sz w:val="24"/>
          <w:szCs w:val="24"/>
        </w:rPr>
        <w:t>本细则未涉及部分，除《南京理工大学</w:t>
      </w:r>
      <w:r>
        <w:rPr>
          <w:sz w:val="24"/>
          <w:szCs w:val="24"/>
        </w:rPr>
        <w:t>2015</w:t>
      </w:r>
      <w:r>
        <w:rPr>
          <w:rFonts w:cs="宋体" w:hint="eastAsia"/>
          <w:sz w:val="24"/>
          <w:szCs w:val="24"/>
        </w:rPr>
        <w:t>年攻读博士学位研究生招生简章》有明确规定外，由重点实验室复试专家组负责解释。</w:t>
      </w:r>
    </w:p>
    <w:p w:rsidR="008E10C8" w:rsidRDefault="008E10C8" w:rsidP="00C230C5">
      <w:pPr>
        <w:spacing w:line="440" w:lineRule="exact"/>
        <w:ind w:firstLineChars="200" w:firstLine="31680"/>
        <w:rPr>
          <w:rFonts w:cs="Times New Roman"/>
          <w:color w:val="FF0000"/>
          <w:sz w:val="24"/>
          <w:szCs w:val="24"/>
        </w:rPr>
      </w:pPr>
      <w:r w:rsidRPr="004B0D9E">
        <w:rPr>
          <w:sz w:val="24"/>
          <w:szCs w:val="24"/>
        </w:rPr>
        <w:t>8.</w:t>
      </w:r>
      <w:r w:rsidRPr="004B0D9E">
        <w:rPr>
          <w:rFonts w:cs="宋体" w:hint="eastAsia"/>
          <w:sz w:val="24"/>
          <w:szCs w:val="24"/>
        </w:rPr>
        <w:t>联系电话：单位研究生教务员电话</w:t>
      </w:r>
      <w:r w:rsidRPr="004B0D9E">
        <w:rPr>
          <w:sz w:val="24"/>
          <w:szCs w:val="24"/>
        </w:rPr>
        <w:t xml:space="preserve">84315646  </w:t>
      </w:r>
      <w:r w:rsidRPr="004B0D9E">
        <w:rPr>
          <w:rFonts w:cs="宋体" w:hint="eastAsia"/>
          <w:sz w:val="24"/>
          <w:szCs w:val="24"/>
        </w:rPr>
        <w:t>监督电话：</w:t>
      </w:r>
      <w:r w:rsidRPr="004B0D9E">
        <w:rPr>
          <w:sz w:val="24"/>
          <w:szCs w:val="24"/>
        </w:rPr>
        <w:t>84303162</w:t>
      </w:r>
    </w:p>
    <w:p w:rsidR="008E10C8" w:rsidRDefault="008E10C8">
      <w:pPr>
        <w:spacing w:line="440" w:lineRule="exact"/>
        <w:rPr>
          <w:rFonts w:cs="Times New Roman"/>
          <w:color w:val="FF0000"/>
          <w:sz w:val="24"/>
          <w:szCs w:val="24"/>
        </w:rPr>
      </w:pPr>
    </w:p>
    <w:p w:rsidR="008E10C8" w:rsidRDefault="008E10C8">
      <w:pPr>
        <w:spacing w:line="440" w:lineRule="exact"/>
        <w:rPr>
          <w:rFonts w:cs="Times New Roman"/>
          <w:sz w:val="24"/>
          <w:szCs w:val="24"/>
        </w:rPr>
      </w:pPr>
    </w:p>
    <w:p w:rsidR="008E10C8" w:rsidRDefault="008E10C8">
      <w:pPr>
        <w:spacing w:line="360" w:lineRule="auto"/>
        <w:jc w:val="right"/>
        <w:rPr>
          <w:rFonts w:cs="Times New Roman"/>
          <w:sz w:val="24"/>
          <w:szCs w:val="24"/>
        </w:rPr>
      </w:pPr>
      <w:r>
        <w:rPr>
          <w:rFonts w:cs="宋体" w:hint="eastAsia"/>
          <w:sz w:val="24"/>
          <w:szCs w:val="24"/>
        </w:rPr>
        <w:t>南京理工大学瞬态物理重点实验室</w:t>
      </w:r>
    </w:p>
    <w:p w:rsidR="008E10C8" w:rsidRDefault="008E10C8" w:rsidP="00465017">
      <w:pPr>
        <w:spacing w:line="360" w:lineRule="auto"/>
        <w:ind w:right="480" w:firstLineChars="2300" w:firstLine="31680"/>
        <w:rPr>
          <w:rFonts w:cs="Times New Roman"/>
        </w:rPr>
      </w:pPr>
      <w:r>
        <w:rPr>
          <w:sz w:val="24"/>
          <w:szCs w:val="24"/>
        </w:rPr>
        <w:t>2014</w:t>
      </w:r>
      <w:r>
        <w:rPr>
          <w:rFonts w:cs="宋体" w:hint="eastAsia"/>
          <w:sz w:val="24"/>
          <w:szCs w:val="24"/>
        </w:rPr>
        <w:t>年</w:t>
      </w:r>
      <w:r>
        <w:rPr>
          <w:sz w:val="24"/>
          <w:szCs w:val="24"/>
        </w:rPr>
        <w:t>12</w:t>
      </w:r>
      <w:r>
        <w:rPr>
          <w:rFonts w:cs="宋体" w:hint="eastAsia"/>
          <w:sz w:val="24"/>
          <w:szCs w:val="24"/>
        </w:rPr>
        <w:t>月</w:t>
      </w:r>
      <w:r>
        <w:rPr>
          <w:sz w:val="24"/>
          <w:szCs w:val="24"/>
        </w:rPr>
        <w:t>15</w:t>
      </w:r>
      <w:r>
        <w:rPr>
          <w:rFonts w:cs="宋体" w:hint="eastAsia"/>
          <w:sz w:val="24"/>
          <w:szCs w:val="24"/>
        </w:rPr>
        <w:t>日</w:t>
      </w:r>
    </w:p>
    <w:sectPr w:rsidR="008E10C8" w:rsidSect="001677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0C8" w:rsidRDefault="008E10C8" w:rsidP="00524194">
      <w:pPr>
        <w:rPr>
          <w:rFonts w:cs="Times New Roman"/>
        </w:rPr>
      </w:pPr>
      <w:r>
        <w:rPr>
          <w:rFonts w:cs="Times New Roman"/>
        </w:rPr>
        <w:separator/>
      </w:r>
    </w:p>
  </w:endnote>
  <w:endnote w:type="continuationSeparator" w:id="0">
    <w:p w:rsidR="008E10C8" w:rsidRDefault="008E10C8" w:rsidP="0052419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0C8" w:rsidRDefault="008E10C8" w:rsidP="00524194">
      <w:pPr>
        <w:rPr>
          <w:rFonts w:cs="Times New Roman"/>
        </w:rPr>
      </w:pPr>
      <w:r>
        <w:rPr>
          <w:rFonts w:cs="Times New Roman"/>
        </w:rPr>
        <w:separator/>
      </w:r>
    </w:p>
  </w:footnote>
  <w:footnote w:type="continuationSeparator" w:id="0">
    <w:p w:rsidR="008E10C8" w:rsidRDefault="008E10C8" w:rsidP="0052419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1B7"/>
    <w:rsid w:val="0003227B"/>
    <w:rsid w:val="000375AC"/>
    <w:rsid w:val="00045567"/>
    <w:rsid w:val="000540B4"/>
    <w:rsid w:val="0006588D"/>
    <w:rsid w:val="000A7711"/>
    <w:rsid w:val="000B4C7F"/>
    <w:rsid w:val="000E1F7A"/>
    <w:rsid w:val="000F2AFF"/>
    <w:rsid w:val="00144A85"/>
    <w:rsid w:val="0016161D"/>
    <w:rsid w:val="001677FA"/>
    <w:rsid w:val="001A25A3"/>
    <w:rsid w:val="001B3707"/>
    <w:rsid w:val="001B4FE2"/>
    <w:rsid w:val="001C2712"/>
    <w:rsid w:val="002214C0"/>
    <w:rsid w:val="00272696"/>
    <w:rsid w:val="002A7D1D"/>
    <w:rsid w:val="002C1996"/>
    <w:rsid w:val="00301A32"/>
    <w:rsid w:val="00376FF5"/>
    <w:rsid w:val="00387820"/>
    <w:rsid w:val="00394BBC"/>
    <w:rsid w:val="003A5DEB"/>
    <w:rsid w:val="003D4F8F"/>
    <w:rsid w:val="003E018C"/>
    <w:rsid w:val="003F7254"/>
    <w:rsid w:val="00465017"/>
    <w:rsid w:val="00466ABE"/>
    <w:rsid w:val="004958B4"/>
    <w:rsid w:val="00496272"/>
    <w:rsid w:val="004B0D9E"/>
    <w:rsid w:val="004E46D2"/>
    <w:rsid w:val="004F20FC"/>
    <w:rsid w:val="005025CC"/>
    <w:rsid w:val="00524194"/>
    <w:rsid w:val="00531724"/>
    <w:rsid w:val="005B397A"/>
    <w:rsid w:val="0069662A"/>
    <w:rsid w:val="006C6ACA"/>
    <w:rsid w:val="007071A7"/>
    <w:rsid w:val="00713503"/>
    <w:rsid w:val="00734790"/>
    <w:rsid w:val="00754E21"/>
    <w:rsid w:val="0076101E"/>
    <w:rsid w:val="007853D0"/>
    <w:rsid w:val="007A1738"/>
    <w:rsid w:val="007C7571"/>
    <w:rsid w:val="007D674C"/>
    <w:rsid w:val="007E793C"/>
    <w:rsid w:val="00834736"/>
    <w:rsid w:val="00835C7A"/>
    <w:rsid w:val="008371AA"/>
    <w:rsid w:val="00853164"/>
    <w:rsid w:val="00855BFE"/>
    <w:rsid w:val="00856CFA"/>
    <w:rsid w:val="00870245"/>
    <w:rsid w:val="00871306"/>
    <w:rsid w:val="008B2D20"/>
    <w:rsid w:val="008D0802"/>
    <w:rsid w:val="008E10C8"/>
    <w:rsid w:val="008E11B7"/>
    <w:rsid w:val="009F44EB"/>
    <w:rsid w:val="00A414D2"/>
    <w:rsid w:val="00A56724"/>
    <w:rsid w:val="00A64434"/>
    <w:rsid w:val="00A861C8"/>
    <w:rsid w:val="00AD4306"/>
    <w:rsid w:val="00B116B1"/>
    <w:rsid w:val="00B41A70"/>
    <w:rsid w:val="00B67BF4"/>
    <w:rsid w:val="00B822B5"/>
    <w:rsid w:val="00BD4CD3"/>
    <w:rsid w:val="00C230C5"/>
    <w:rsid w:val="00C96204"/>
    <w:rsid w:val="00CD1A89"/>
    <w:rsid w:val="00D154D0"/>
    <w:rsid w:val="00DB2A9A"/>
    <w:rsid w:val="00E14353"/>
    <w:rsid w:val="00E225F4"/>
    <w:rsid w:val="00E26D27"/>
    <w:rsid w:val="00E52CF8"/>
    <w:rsid w:val="00F771E8"/>
    <w:rsid w:val="00F87DFD"/>
    <w:rsid w:val="00FA7D00"/>
    <w:rsid w:val="00FC5670"/>
    <w:rsid w:val="6CE069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77FA"/>
    <w:pPr>
      <w:widowControl w:val="0"/>
      <w:jc w:val="both"/>
    </w:pPr>
    <w:rPr>
      <w:szCs w:val="21"/>
    </w:rPr>
  </w:style>
  <w:style w:type="paragraph" w:styleId="Heading2">
    <w:name w:val="heading 2"/>
    <w:basedOn w:val="Normal"/>
    <w:link w:val="Heading2Char"/>
    <w:uiPriority w:val="99"/>
    <w:qFormat/>
    <w:locked/>
    <w:rsid w:val="00524194"/>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24194"/>
    <w:rPr>
      <w:rFonts w:ascii="宋体" w:eastAsia="宋体" w:cs="宋体"/>
      <w:b/>
      <w:bCs/>
      <w:sz w:val="36"/>
      <w:szCs w:val="36"/>
    </w:rPr>
  </w:style>
  <w:style w:type="paragraph" w:styleId="Footer">
    <w:name w:val="footer"/>
    <w:basedOn w:val="Normal"/>
    <w:link w:val="FooterChar"/>
    <w:uiPriority w:val="99"/>
    <w:rsid w:val="001677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77FA"/>
    <w:rPr>
      <w:sz w:val="18"/>
      <w:szCs w:val="18"/>
    </w:rPr>
  </w:style>
  <w:style w:type="paragraph" w:styleId="Header">
    <w:name w:val="header"/>
    <w:basedOn w:val="Normal"/>
    <w:link w:val="HeaderChar"/>
    <w:uiPriority w:val="99"/>
    <w:rsid w:val="001677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77FA"/>
    <w:rPr>
      <w:sz w:val="18"/>
      <w:szCs w:val="18"/>
    </w:rPr>
  </w:style>
  <w:style w:type="paragraph" w:customStyle="1" w:styleId="1">
    <w:name w:val="列出段落1"/>
    <w:basedOn w:val="Normal"/>
    <w:uiPriority w:val="99"/>
    <w:rsid w:val="001677FA"/>
    <w:pPr>
      <w:ind w:firstLineChars="200" w:firstLine="420"/>
    </w:pPr>
  </w:style>
  <w:style w:type="paragraph" w:styleId="NormalWeb">
    <w:name w:val="Normal (Web)"/>
    <w:basedOn w:val="Normal"/>
    <w:uiPriority w:val="99"/>
    <w:semiHidden/>
    <w:rsid w:val="00531724"/>
    <w:pPr>
      <w:widowControl/>
      <w:spacing w:before="100" w:beforeAutospacing="1" w:after="100" w:afterAutospacing="1"/>
      <w:jc w:val="left"/>
    </w:pPr>
    <w:rPr>
      <w:rFonts w:ascii="Arial Unicode MS" w:hAnsi="Arial Unicode MS" w:cs="Arial Unicode MS"/>
      <w:kern w:val="0"/>
      <w:sz w:val="24"/>
      <w:szCs w:val="24"/>
    </w:rPr>
  </w:style>
  <w:style w:type="paragraph" w:styleId="BalloonText">
    <w:name w:val="Balloon Text"/>
    <w:basedOn w:val="Normal"/>
    <w:link w:val="BalloonTextChar"/>
    <w:uiPriority w:val="99"/>
    <w:semiHidden/>
    <w:rsid w:val="004B0D9E"/>
    <w:rPr>
      <w:sz w:val="18"/>
      <w:szCs w:val="18"/>
    </w:rPr>
  </w:style>
  <w:style w:type="character" w:customStyle="1" w:styleId="BalloonTextChar">
    <w:name w:val="Balloon Text Char"/>
    <w:basedOn w:val="DefaultParagraphFont"/>
    <w:link w:val="BalloonText"/>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divs>
    <w:div w:id="962418957">
      <w:marLeft w:val="0"/>
      <w:marRight w:val="0"/>
      <w:marTop w:val="0"/>
      <w:marBottom w:val="0"/>
      <w:divBdr>
        <w:top w:val="none" w:sz="0" w:space="0" w:color="auto"/>
        <w:left w:val="none" w:sz="0" w:space="0" w:color="auto"/>
        <w:bottom w:val="none" w:sz="0" w:space="0" w:color="auto"/>
        <w:right w:val="none" w:sz="0" w:space="0" w:color="auto"/>
      </w:divBdr>
    </w:div>
    <w:div w:id="962418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1</Pages>
  <Words>121</Words>
  <Characters>695</Characters>
  <Application>Microsoft Office Outlook</Application>
  <DocSecurity>0</DocSecurity>
  <Lines>0</Lines>
  <Paragraphs>0</Paragraphs>
  <ScaleCrop>false</ScaleCrop>
  <Company>97026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南京理工大学瞬态物理重点实验室</dc:title>
  <dc:subject/>
  <dc:creator>97026</dc:creator>
  <cp:keywords/>
  <dc:description/>
  <cp:lastModifiedBy>微软用户</cp:lastModifiedBy>
  <cp:revision>4</cp:revision>
  <cp:lastPrinted>2014-12-22T09:53:00Z</cp:lastPrinted>
  <dcterms:created xsi:type="dcterms:W3CDTF">2014-12-22T10:22:00Z</dcterms:created>
  <dcterms:modified xsi:type="dcterms:W3CDTF">2014-12-23T10:28:00Z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