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21D2C">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Times New Roman" w:hAnsi="Times New Roman" w:eastAsia="宋体" w:cs="Times New Roman"/>
          <w:sz w:val="28"/>
          <w:szCs w:val="28"/>
          <w:highlight w:val="none"/>
          <w:lang w:eastAsia="zh-CN"/>
        </w:rPr>
      </w:pPr>
      <w:r>
        <w:rPr>
          <w:rFonts w:hint="default" w:ascii="Times New Roman" w:hAnsi="Times New Roman" w:cs="Times New Roman"/>
          <w:sz w:val="28"/>
          <w:szCs w:val="28"/>
          <w:highlight w:val="none"/>
        </w:rPr>
        <w:t>附件</w:t>
      </w:r>
      <w:r>
        <w:rPr>
          <w:rFonts w:hint="eastAsia" w:cs="Times New Roman"/>
          <w:sz w:val="28"/>
          <w:szCs w:val="28"/>
          <w:highlight w:val="none"/>
          <w:lang w:val="en-US" w:eastAsia="zh-CN"/>
        </w:rPr>
        <w:t>4</w:t>
      </w:r>
    </w:p>
    <w:p w14:paraId="04F842B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方正小标宋简体" w:cs="Times New Roman"/>
          <w:sz w:val="32"/>
          <w:szCs w:val="32"/>
          <w:highlight w:val="none"/>
        </w:rPr>
      </w:pPr>
      <w:bookmarkStart w:id="0" w:name="_GoBack"/>
      <w:r>
        <w:rPr>
          <w:rFonts w:hint="default" w:ascii="Times New Roman" w:hAnsi="Times New Roman" w:eastAsia="方正小标宋简体" w:cs="Times New Roman"/>
          <w:sz w:val="32"/>
          <w:szCs w:val="32"/>
          <w:highlight w:val="none"/>
        </w:rPr>
        <w:t>关于</w:t>
      </w:r>
      <w:r>
        <w:rPr>
          <w:rFonts w:hint="eastAsia" w:eastAsia="方正小标宋简体" w:cs="Times New Roman"/>
          <w:sz w:val="32"/>
          <w:szCs w:val="32"/>
          <w:highlight w:val="none"/>
          <w:lang w:val="en-US" w:eastAsia="zh-CN"/>
        </w:rPr>
        <w:t>2022</w:t>
      </w:r>
      <w:r>
        <w:rPr>
          <w:rFonts w:hint="default" w:ascii="Times New Roman" w:hAnsi="Times New Roman" w:eastAsia="方正小标宋简体" w:cs="Times New Roman"/>
          <w:sz w:val="32"/>
          <w:szCs w:val="32"/>
          <w:highlight w:val="none"/>
        </w:rPr>
        <w:t>级硕士研究生学位论文抽检办法</w:t>
      </w:r>
      <w:bookmarkEnd w:id="0"/>
    </w:p>
    <w:p w14:paraId="6724C8A6">
      <w:pPr>
        <w:keepNext w:val="0"/>
        <w:keepLines w:val="0"/>
        <w:pageBreakBefore w:val="0"/>
        <w:widowControl w:val="0"/>
        <w:kinsoku/>
        <w:wordWrap/>
        <w:overflowPunct/>
        <w:topLinePunct w:val="0"/>
        <w:autoSpaceDE/>
        <w:autoSpaceDN/>
        <w:bidi w:val="0"/>
        <w:adjustRightInd/>
        <w:spacing w:before="156" w:beforeLines="50" w:line="360" w:lineRule="auto"/>
        <w:ind w:firstLine="548" w:firstLineChars="196"/>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为了提升我校研究生整体培养质量和学位论文水平，完善研究生培养质量保证和监督机制，我校决定对拟申请答辩的硕士研究生的学位论文进行抽检，具体实施办法参照《江苏省硕士学位论文抽检评议实施办法》制订如下。</w:t>
      </w:r>
    </w:p>
    <w:p w14:paraId="72256FB3">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抽检范围：</w:t>
      </w:r>
      <w:r>
        <w:rPr>
          <w:rFonts w:hint="default" w:ascii="Times New Roman" w:hAnsi="Times New Roman" w:eastAsia="仿宋_GB2312" w:cs="Times New Roman"/>
          <w:sz w:val="28"/>
          <w:szCs w:val="28"/>
          <w:highlight w:val="none"/>
        </w:rPr>
        <w:t>拟申请答辩的20</w:t>
      </w:r>
      <w:r>
        <w:rPr>
          <w:rFonts w:hint="eastAsia" w:eastAsia="仿宋_GB2312" w:cs="Times New Roman"/>
          <w:sz w:val="28"/>
          <w:szCs w:val="28"/>
          <w:highlight w:val="none"/>
          <w:lang w:val="en-US" w:eastAsia="zh-CN"/>
        </w:rPr>
        <w:t>22</w:t>
      </w:r>
      <w:r>
        <w:rPr>
          <w:rFonts w:hint="default" w:ascii="Times New Roman" w:hAnsi="Times New Roman" w:eastAsia="仿宋_GB2312" w:cs="Times New Roman"/>
          <w:sz w:val="28"/>
          <w:szCs w:val="28"/>
          <w:highlight w:val="none"/>
        </w:rPr>
        <w:t>级全日制和非全日制硕士研究生。</w:t>
      </w:r>
    </w:p>
    <w:p w14:paraId="1A36A868">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抽检原则：</w:t>
      </w:r>
      <w:r>
        <w:rPr>
          <w:rFonts w:hint="default" w:ascii="Times New Roman" w:hAnsi="Times New Roman" w:eastAsia="仿宋_GB2312" w:cs="Times New Roman"/>
          <w:sz w:val="28"/>
          <w:szCs w:val="28"/>
          <w:highlight w:val="none"/>
        </w:rPr>
        <w:t>采取普遍抽查和重点抽查相结合。在保证抽检的学位论文涉及全校所有硕士学位授权点和所有培养单位的基础上，重点对以下学位论文跟踪抽查：1</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导师所带硕士生拟申请学位较多者；2</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近三年省抽检学位论文评议结果出现“不合格”的指导教师所带硕士生拟申请学位者；3</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上一年度校学位论文抽检存在“较差”的指导教师所带硕士生拟申请学位者；4</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其他情况。</w:t>
      </w:r>
    </w:p>
    <w:p w14:paraId="6294CD30">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抽取比例：</w:t>
      </w:r>
      <w:r>
        <w:rPr>
          <w:rFonts w:hint="default" w:ascii="Times New Roman" w:hAnsi="Times New Roman" w:eastAsia="仿宋_GB2312" w:cs="Times New Roman"/>
          <w:sz w:val="28"/>
          <w:szCs w:val="28"/>
          <w:highlight w:val="none"/>
        </w:rPr>
        <w:t>按拟申请学位的硕士研究生总数的10%比例抽检。</w:t>
      </w:r>
    </w:p>
    <w:p w14:paraId="5E0BD2F0">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材料提交要求：</w:t>
      </w:r>
      <w:r>
        <w:rPr>
          <w:rFonts w:hint="eastAsia" w:ascii="Times New Roman" w:hAnsi="Times New Roman" w:eastAsia="仿宋_GB2312" w:cs="Times New Roman"/>
          <w:sz w:val="28"/>
          <w:szCs w:val="28"/>
          <w:highlight w:val="none"/>
          <w:lang w:val="en-US" w:eastAsia="zh-CN"/>
        </w:rPr>
        <w:t>研究生在</w:t>
      </w:r>
      <w:r>
        <w:rPr>
          <w:rFonts w:hint="eastAsia" w:eastAsia="仿宋_GB2312" w:cs="Times New Roman"/>
          <w:sz w:val="28"/>
          <w:szCs w:val="28"/>
          <w:highlight w:val="none"/>
          <w:lang w:val="en-US" w:eastAsia="zh-CN"/>
        </w:rPr>
        <w:t>提交</w:t>
      </w:r>
      <w:r>
        <w:rPr>
          <w:rFonts w:hint="eastAsia" w:ascii="Times New Roman" w:hAnsi="Times New Roman" w:eastAsia="仿宋_GB2312" w:cs="Times New Roman"/>
          <w:sz w:val="28"/>
          <w:szCs w:val="28"/>
          <w:highlight w:val="none"/>
          <w:lang w:val="en-US" w:eastAsia="zh-CN"/>
        </w:rPr>
        <w:t>论文送审申请时，</w:t>
      </w:r>
      <w:r>
        <w:rPr>
          <w:rFonts w:hint="eastAsia" w:eastAsia="仿宋_GB2312" w:cs="Times New Roman"/>
          <w:sz w:val="28"/>
          <w:szCs w:val="28"/>
          <w:highlight w:val="none"/>
          <w:lang w:val="en-US" w:eastAsia="zh-CN"/>
        </w:rPr>
        <w:t>上传</w:t>
      </w:r>
      <w:r>
        <w:rPr>
          <w:rFonts w:hint="eastAsia" w:ascii="Times New Roman" w:hAnsi="Times New Roman" w:eastAsia="仿宋_GB2312" w:cs="Times New Roman"/>
          <w:sz w:val="28"/>
          <w:szCs w:val="28"/>
          <w:highlight w:val="none"/>
          <w:lang w:val="en-US" w:eastAsia="zh-CN"/>
        </w:rPr>
        <w:t>常评论文和匿名论文，研究生院将下载匿名论文进行送审。</w:t>
      </w:r>
      <w:r>
        <w:rPr>
          <w:rFonts w:hint="default" w:ascii="Times New Roman" w:hAnsi="Times New Roman" w:eastAsia="仿宋_GB2312" w:cs="Times New Roman"/>
          <w:sz w:val="28"/>
          <w:szCs w:val="28"/>
          <w:highlight w:val="none"/>
        </w:rPr>
        <w:t>匿名</w:t>
      </w:r>
      <w:r>
        <w:rPr>
          <w:rFonts w:hint="eastAsia" w:eastAsia="仿宋_GB2312" w:cs="Times New Roman"/>
          <w:sz w:val="28"/>
          <w:szCs w:val="28"/>
          <w:highlight w:val="none"/>
          <w:lang w:val="en-US" w:eastAsia="zh-CN"/>
        </w:rPr>
        <w:t>论文</w:t>
      </w:r>
      <w:r>
        <w:rPr>
          <w:rFonts w:hint="default" w:ascii="Times New Roman" w:hAnsi="Times New Roman" w:eastAsia="仿宋_GB2312" w:cs="Times New Roman"/>
          <w:sz w:val="28"/>
          <w:szCs w:val="28"/>
          <w:highlight w:val="none"/>
        </w:rPr>
        <w:t>要求隐去作者及指导教师姓名等信息。</w:t>
      </w:r>
    </w:p>
    <w:p w14:paraId="47C2BE84">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b/>
          <w:sz w:val="28"/>
          <w:szCs w:val="28"/>
          <w:highlight w:val="none"/>
        </w:rPr>
        <w:t>评审费用：</w:t>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0元/篇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含</w:t>
      </w:r>
      <w:r>
        <w:rPr>
          <w:rFonts w:hint="default" w:ascii="Times New Roman" w:hAnsi="Times New Roman" w:eastAsia="仿宋_GB2312" w:cs="Times New Roman"/>
          <w:color w:val="auto"/>
          <w:sz w:val="28"/>
          <w:szCs w:val="28"/>
          <w:highlight w:val="none"/>
        </w:rPr>
        <w:t>评审费</w:t>
      </w: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0元/篇，管理费50元/篇</w:t>
      </w:r>
      <w:r>
        <w:rPr>
          <w:rFonts w:hint="default" w:ascii="Times New Roman" w:hAnsi="Times New Roman" w:eastAsia="仿宋_GB2312" w:cs="Times New Roman"/>
          <w:color w:val="auto"/>
          <w:sz w:val="28"/>
          <w:szCs w:val="28"/>
          <w:highlight w:val="none"/>
          <w:lang w:eastAsia="zh-CN"/>
        </w:rPr>
        <w:t>）</w:t>
      </w:r>
    </w:p>
    <w:p w14:paraId="5FB14FD4">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抽检论文送检</w:t>
      </w:r>
      <w:r>
        <w:rPr>
          <w:rFonts w:hint="default" w:ascii="Times New Roman" w:hAnsi="Times New Roman" w:eastAsia="仿宋_GB2312" w:cs="Times New Roman"/>
          <w:sz w:val="28"/>
          <w:szCs w:val="28"/>
          <w:highlight w:val="none"/>
        </w:rPr>
        <w:t>：抽检的学位论文由学位办安排送审，采取双向匿名评审，评审结果返回后，由研究生院通知各培养单位研究生教学秘书。</w:t>
      </w:r>
    </w:p>
    <w:p w14:paraId="702FE3A8">
      <w:r>
        <w:rPr>
          <w:rFonts w:hint="default" w:ascii="Times New Roman" w:hAnsi="Times New Roman" w:eastAsia="仿宋_GB2312" w:cs="Times New Roman"/>
          <w:b/>
          <w:sz w:val="28"/>
          <w:szCs w:val="28"/>
          <w:highlight w:val="none"/>
        </w:rPr>
        <w:t>抽检结果：</w:t>
      </w:r>
      <w:r>
        <w:rPr>
          <w:rFonts w:hint="default" w:ascii="Times New Roman" w:hAnsi="Times New Roman" w:eastAsia="仿宋_GB2312" w:cs="Times New Roman"/>
          <w:sz w:val="28"/>
          <w:szCs w:val="28"/>
          <w:highlight w:val="none"/>
        </w:rPr>
        <w:t>抽检评阅结果将形成分析报告，一方面报校学位评定委员会，另一方面通知所在培养单位并由培养单位按学科报所属学位评定分委员会。</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TliOTk2NjEwYzQ5ZTg4NGM4MjkxOTJmYjNkNjQifQ=="/>
  </w:docVars>
  <w:rsids>
    <w:rsidRoot w:val="740D5094"/>
    <w:rsid w:val="740D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2024-10-22T03:39:00Z</dcterms:created>
  <dc:creator>世奇</dc:creator>
  <cp:lastModifiedBy>世奇</cp:lastModifiedBy>
  <dcterms:modified xsi:type="dcterms:W3CDTF">2024-10-22T03:40:03Z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7B7C9E3779CA45679387CE34DBC95CD4_11</vt:lpwstr>
  </property>
</Properties>
</file>